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13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4806"/>
        <w:gridCol w:w="4807"/>
      </w:tblGrid>
      <w:tr>
        <w:trPr>
          <w:trHeight w:val="510" w:hRule="atLeast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  <w:t>Le informazioni e i dati corrispondono a quelli previsti nella modulistica unificata e standardizzata, approvata dalla Conferenza Unificata  in data 4 maggio 2017</w:t>
            </w:r>
          </w:p>
          <w:p>
            <w:pPr>
              <w:pStyle w:val="Normal"/>
              <w:snapToGrid w:val="false"/>
              <w:spacing w:before="0" w:after="0"/>
              <w:jc w:val="lef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  <w:t>Le sezioni e le informazioni variate sulla base delle diverse disposizioni regionali sono contrassegnate con un asterisco (*)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Heading7"/>
              <w:numPr>
                <w:ilvl w:val="6"/>
                <w:numId w:val="1"/>
              </w:numPr>
              <w:snapToGrid w:val="false"/>
              <w:spacing w:before="0" w:after="0"/>
              <w:ind w:left="0" w:right="0" w:hanging="0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sz w:val="20"/>
                <w:szCs w:val="20"/>
              </w:rPr>
            </w:r>
          </w:p>
          <w:p>
            <w:pPr>
              <w:pStyle w:val="Normal"/>
              <w:snapToGrid w:val="false"/>
              <w:spacing w:before="0" w:after="0"/>
              <w:jc w:val="right"/>
              <w:rPr>
                <w:rFonts w:ascii="Arial" w:hAnsi="Arial" w:cs="Arial"/>
                <w:b/>
                <w:b/>
                <w:bCs/>
                <w:i w:val="false"/>
                <w:i w:val="false"/>
                <w:color w:val="0000FF"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i w:val="false"/>
                <w:color w:val="0000FF"/>
                <w:sz w:val="12"/>
                <w:szCs w:val="12"/>
              </w:rPr>
              <w:t xml:space="preserve">Questo modulo </w:t>
            </w:r>
            <w:r>
              <w:rPr>
                <w:rFonts w:cs="Arial" w:ascii="Arial" w:hAnsi="Arial"/>
                <w:b/>
                <w:bCs/>
                <w:i w:val="false"/>
                <w:color w:val="0000FF"/>
                <w:sz w:val="12"/>
                <w:szCs w:val="12"/>
                <w:u w:val="single"/>
              </w:rPr>
              <w:t>DEVE ESSERE compilato</w:t>
            </w:r>
            <w:r>
              <w:rPr>
                <w:rFonts w:cs="Arial" w:ascii="Arial" w:hAnsi="Arial"/>
                <w:b/>
                <w:bCs/>
                <w:i w:val="false"/>
                <w:color w:val="0000FF"/>
                <w:sz w:val="12"/>
                <w:szCs w:val="12"/>
              </w:rPr>
              <w:t xml:space="preserve"> con OpenOffice o Libre Office</w:t>
            </w:r>
          </w:p>
        </w:tc>
      </w:tr>
      <w:tr>
        <w:trPr>
          <w:trHeight w:val="510" w:hRule="atLeas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1"/>
              <w:numPr>
                <w:ilvl w:val="0"/>
                <w:numId w:val="0"/>
              </w:numPr>
              <w:spacing w:before="57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Dati generali dell'intervento</w:t>
            </w:r>
          </w:p>
        </w:tc>
      </w:tr>
      <w:tr>
        <w:trPr>
          <w:trHeight w:val="454" w:hRule="exac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62" w:after="62"/>
              <w:rPr/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1.1 Numero della domanda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</w:p>
        </w:tc>
      </w:tr>
      <w:tr>
        <w:trPr>
          <w:trHeight w:val="515" w:hRule="exac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57" w:after="57"/>
              <w:textAlignment w:val="center"/>
              <w:rPr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1.2 Titolare dell'esercizio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</w:r>
          </w:p>
        </w:tc>
      </w:tr>
      <w:tr>
        <w:trPr>
          <w:trHeight w:val="454" w:hRule="exact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57" w:after="0"/>
              <w:textAlignment w:val="center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1.3 Indirizzo dell'esercizio</w:t>
            </w:r>
          </w:p>
        </w:tc>
      </w:tr>
      <w:tr>
        <w:trPr>
          <w:trHeight w:val="816" w:hRule="exac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0" w:after="0"/>
              <w:ind w:left="397" w:right="0" w:hanging="0"/>
              <w:textAlignment w:val="bottom"/>
              <w:rPr/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8"/>
                <w:szCs w:val="28"/>
              </w:rPr>
              <w:t>/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left="397" w:right="0" w:hanging="0"/>
              <w:textAlignment w:val="bottom"/>
              <w:rPr/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440180" cy="162560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9640" cy="162000"/>
                              </a:xfrm>
                            </wpg:grpSpPr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6.4pt;width:113.35pt;height:12.75pt" coordorigin="0,-128" coordsize="2267,255"/>
                  </w:pict>
                </mc:Fallback>
              </mc:AlternateConten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  <w:t xml:space="preserve"> </w:t>
            </w:r>
            <w:r>
              <w:rPr>
                <w:i w:val="false"/>
                <w:iCs w:val="false"/>
                <w:color w:val="0000FF"/>
                <w:sz w:val="20"/>
                <w:szCs w:val="20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54" w:type="dxa"/>
        <w:jc w:val="left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9654"/>
      </w:tblGrid>
      <w:tr>
        <w:trPr>
          <w:trHeight w:val="454" w:hRule="atLeast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ind w:left="300" w:right="0" w:hanging="0"/>
              <w:rPr>
                <w:rFonts w:ascii="Arial" w:hAnsi="Arial" w:cs="Arial"/>
                <w:b/>
                <w:b/>
                <w:color w:val="FF0000"/>
                <w:sz w:val="28"/>
                <w:szCs w:val="28"/>
              </w:rPr>
            </w:pPr>
            <w:r>
              <w:rPr>
                <w:rFonts w:cs="Arial" w:ascii="Arial" w:hAnsi="Arial"/>
                <w:b/>
                <w:color w:val="FF0000"/>
                <w:sz w:val="28"/>
                <w:szCs w:val="28"/>
              </w:rPr>
              <w:t>2. Dati dell'impresa a cui si subentra</w:t>
            </w:r>
          </w:p>
        </w:tc>
      </w:tr>
      <w:tr>
        <w:trPr>
          <w:trHeight w:val="454" w:hRule="atLeast"/>
        </w:trPr>
        <w:tc>
          <w:tcPr>
            <w:tcW w:w="9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ind w:left="300" w:right="0" w:hanging="0"/>
              <w:rPr>
                <w:rFonts w:ascii="Arial" w:hAnsi="Arial" w:cs="Arial"/>
                <w:b w:val="false"/>
                <w:b w:val="false"/>
                <w:bCs w:val="false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color w:val="auto"/>
                <w:sz w:val="16"/>
                <w:szCs w:val="16"/>
              </w:rPr>
              <w:t xml:space="preserve">L'attività oggetto di subingresso è stata avviata con precedente SCIA/DIA/autorizzazione protocollo/numero del </w:t>
            </w:r>
            <w:r>
              <w:rPr>
                <w:rFonts w:cs="Arial" w:ascii="Arial" w:hAnsi="Arial"/>
                <w:b w:val="false"/>
                <w:bCs w:val="false"/>
                <w:color w:val="auto"/>
                <w:sz w:val="16"/>
                <w:szCs w:val="16"/>
              </w:rPr>
            </w:r>
            <w:sdt>
              <w:sdtPr>
                <w:date>
                  <w:dateFormat w:val=""/>
                  <w:lid w:val="en-US"/>
                  <w:storeMappedDataAs w:val="dateTime"/>
                  <w:calendar w:val="gregorian"/>
                </w:date>
              </w:sdtPr>
              <w:sdtContent>
                <w:r/>
              </w:sdtContent>
            </w:sdt>
            <w:r>
              <w:rPr>
                <w:rFonts w:cs="Arial" w:ascii="Arial" w:hAnsi="Arial"/>
                <w:b w:val="false"/>
                <w:bCs w:val="false"/>
                <w:color w:val="auto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auto"/>
                <w:sz w:val="12"/>
                <w:szCs w:val="12"/>
              </w:rPr>
              <w:t>gg/mm/aaaa</w:t>
            </w:r>
          </w:p>
        </w:tc>
      </w:tr>
      <w:tr>
        <w:trPr>
          <w:trHeight w:val="1061" w:hRule="atLeast"/>
        </w:trPr>
        <w:tc>
          <w:tcPr>
            <w:tcW w:w="9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ind w:left="170" w:right="0" w:hanging="0"/>
              <w:rPr/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Wingdings" w:ascii="Arial" w:hAnsi="Arial"/>
                <w:sz w:val="16"/>
                <w:szCs w:val="16"/>
              </w:rPr>
              <w:t xml:space="preserve"> </w:t>
            </w:r>
            <w:r>
              <w:rPr>
                <w:rFonts w:cs="Wingdings" w:ascii="Arial" w:hAnsi="Arial"/>
                <w:sz w:val="16"/>
                <w:szCs w:val="16"/>
              </w:rPr>
              <w:t>Avvio dell'</w:t>
            </w:r>
            <w:r>
              <w:rPr>
                <w:rFonts w:cs="Arial" w:ascii="Arial" w:hAnsi="Arial"/>
                <w:sz w:val="16"/>
                <w:szCs w:val="16"/>
              </w:rPr>
              <w:t>attività contestuale</w:t>
            </w:r>
          </w:p>
          <w:p>
            <w:pPr>
              <w:pStyle w:val="Normal"/>
              <w:snapToGrid w:val="false"/>
              <w:ind w:left="170" w:right="0" w:hanging="0"/>
              <w:rPr/>
            </w:pP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rFonts w:cs="Wingdings" w:ascii="Arial" w:hAnsi="Arial"/>
                <w:sz w:val="16"/>
                <w:szCs w:val="16"/>
              </w:rPr>
              <w:t xml:space="preserve"> </w:t>
            </w:r>
            <w:r>
              <w:rPr>
                <w:rFonts w:cs="Wingdings" w:ascii="Arial" w:hAnsi="Arial"/>
                <w:sz w:val="16"/>
                <w:szCs w:val="16"/>
              </w:rPr>
              <w:t>Avvio dell'</w:t>
            </w:r>
            <w:r>
              <w:rPr>
                <w:rFonts w:cs="Arial" w:ascii="Arial" w:hAnsi="Arial"/>
                <w:sz w:val="16"/>
                <w:szCs w:val="16"/>
              </w:rPr>
              <w:t>attività con decorrenza dal</w:t>
            </w:r>
            <w:r>
              <w:rPr>
                <w:rFonts w:eastAsia="Arial Unicode MS" w:cs="Arial" w:ascii="Arial" w:hAnsi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eastAsia="Arial Unicode MS" w:cs="Tahoma" w:ascii="Arial" w:hAnsi="Arial"/>
                <w:i/>
                <w:iCs/>
                <w:sz w:val="12"/>
                <w:szCs w:val="12"/>
              </w:rPr>
            </w:r>
            <w:sdt>
              <w:sdtPr>
                <w:date>
                  <w:dateFormat w:val=""/>
                  <w:lid w:val="en-US"/>
                  <w:storeMappedDataAs w:val="dateTime"/>
                  <w:calendar w:val="gregorian"/>
                </w:date>
              </w:sdtPr>
              <w:sdtContent>
                <w:r/>
              </w:sdtContent>
            </w:sdt>
            <w:r>
              <w:rPr>
                <w:rFonts w:eastAsia="Arial Unicode MS" w:cs="Tahoma" w:ascii="Arial" w:hAnsi="Arial"/>
                <w:i/>
                <w:iCs/>
                <w:sz w:val="12"/>
                <w:szCs w:val="12"/>
              </w:rPr>
              <w:t xml:space="preserve">  </w:t>
            </w:r>
            <w:r>
              <w:rPr>
                <w:rFonts w:eastAsia="Arial Unicode MS" w:cs="Arial" w:ascii="Arial" w:hAnsi="Arial"/>
                <w:i/>
                <w:iCs/>
                <w:sz w:val="12"/>
                <w:szCs w:val="12"/>
              </w:rPr>
              <w:t>gg/mm/aaaa</w:t>
            </w:r>
          </w:p>
          <w:p>
            <w:pPr>
              <w:pStyle w:val="Normal"/>
              <w:snapToGrid w:val="false"/>
              <w:ind w:left="170" w:right="0" w:hanging="0"/>
              <w:rPr/>
            </w:pPr>
            <w:r>
              <w:rPr/>
            </w: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auto"/>
                <w:sz w:val="16"/>
                <w:szCs w:val="16"/>
              </w:rPr>
              <w:t xml:space="preserve">(*) </w:t>
            </w:r>
            <w:r>
              <w:rPr>
                <w:rFonts w:ascii="Arial" w:hAnsi="Arial"/>
                <w:sz w:val="16"/>
                <w:szCs w:val="16"/>
              </w:rPr>
              <w:t>Subingresso senza avvio attività</w:t>
            </w:r>
          </w:p>
          <w:p>
            <w:pPr>
              <w:pStyle w:val="Normal"/>
              <w:snapToGrid w:val="false"/>
              <w:ind w:left="170" w:right="0" w:hanging="0"/>
              <w:rPr/>
            </w:pP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auto"/>
                <w:sz w:val="16"/>
                <w:szCs w:val="16"/>
              </w:rPr>
              <w:t xml:space="preserve">(*) </w:t>
            </w:r>
            <w:r>
              <w:rPr>
                <w:rFonts w:ascii="Arial" w:hAnsi="Arial"/>
                <w:sz w:val="16"/>
                <w:szCs w:val="16"/>
              </w:rPr>
              <w:t>Reintestazione senza avvio attività</w:t>
            </w:r>
          </w:p>
        </w:tc>
      </w:tr>
      <w:tr>
        <w:trPr>
          <w:trHeight w:val="454" w:hRule="atLeast"/>
        </w:trPr>
        <w:tc>
          <w:tcPr>
            <w:tcW w:w="9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57" w:after="0"/>
              <w:ind w:left="300" w:right="0" w:hanging="0"/>
              <w:rPr>
                <w:rFonts w:ascii="Arial" w:hAnsi="Arial" w:cs="Arial"/>
                <w:b/>
                <w:b/>
                <w:color w:val="FF0000"/>
                <w:sz w:val="28"/>
                <w:szCs w:val="28"/>
              </w:rPr>
            </w:pPr>
            <w:r>
              <w:rPr>
                <w:rFonts w:cs="Arial" w:ascii="Arial" w:hAnsi="Arial"/>
                <w:b/>
                <w:color w:val="FF0000"/>
                <w:sz w:val="28"/>
                <w:szCs w:val="28"/>
              </w:rPr>
              <w:t>3. Motivazione del subingresso</w:t>
            </w:r>
          </w:p>
        </w:tc>
      </w:tr>
      <w:tr>
        <w:trPr>
          <w:trHeight w:val="399" w:hRule="atLeast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left w:w="50" w:type="dxa"/>
              <w:bottom w:w="55" w:type="dxa"/>
              <w:right w:w="55" w:type="dxa"/>
            </w:tcMar>
          </w:tcPr>
          <w:p>
            <w:pPr>
              <w:pStyle w:val="Normal"/>
              <w:spacing w:before="57" w:after="0"/>
              <w:ind w:left="30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Compravendita</w:t>
            </w:r>
          </w:p>
          <w:p>
            <w:pPr>
              <w:pStyle w:val="Normal"/>
              <w:spacing w:before="57" w:after="0"/>
              <w:ind w:left="30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Affitto d’azienda</w:t>
            </w:r>
          </w:p>
          <w:p>
            <w:pPr>
              <w:pStyle w:val="Normal"/>
              <w:spacing w:before="57" w:after="0"/>
              <w:ind w:left="30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Donazione</w:t>
            </w:r>
          </w:p>
          <w:p>
            <w:pPr>
              <w:pStyle w:val="Normal"/>
              <w:snapToGrid w:val="false"/>
              <w:spacing w:before="57" w:after="0"/>
              <w:ind w:left="30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Fusione</w:t>
            </w:r>
          </w:p>
          <w:p>
            <w:pPr>
              <w:pStyle w:val="Normal"/>
              <w:snapToGrid w:val="false"/>
              <w:spacing w:before="57" w:after="0"/>
              <w:ind w:left="30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Fallimento</w:t>
            </w:r>
          </w:p>
          <w:p>
            <w:pPr>
              <w:pStyle w:val="Normal"/>
              <w:snapToGrid w:val="false"/>
              <w:spacing w:before="57" w:after="0"/>
              <w:ind w:left="30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Successione</w:t>
            </w:r>
          </w:p>
          <w:p>
            <w:pPr>
              <w:pStyle w:val="Normal"/>
              <w:snapToGrid w:val="false"/>
              <w:spacing w:before="57" w:after="0"/>
              <w:ind w:left="30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auto"/>
                <w:sz w:val="16"/>
                <w:szCs w:val="16"/>
              </w:rPr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auto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auto"/>
                <w:sz w:val="16"/>
                <w:szCs w:val="16"/>
              </w:rPr>
              <w:t xml:space="preserve">(*)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auto"/>
                <w:sz w:val="16"/>
                <w:szCs w:val="16"/>
              </w:rPr>
              <w:t>Reintestazione a seguito di scadenza di gestione</w:t>
            </w:r>
          </w:p>
          <w:p>
            <w:pPr>
              <w:pStyle w:val="Normal"/>
              <w:snapToGrid w:val="false"/>
              <w:spacing w:before="57" w:after="113"/>
              <w:ind w:left="30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Altre cause</w:t>
            </w:r>
            <w:r>
              <w:rPr>
                <w:rStyle w:val="FootnoteAnchor"/>
                <w:rFonts w:cs="Arial" w:ascii="Arial" w:hAnsi="Arial"/>
                <w:sz w:val="16"/>
                <w:szCs w:val="16"/>
              </w:rPr>
              <w:footnoteReference w:id="2"/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57" w:after="0"/>
              <w:ind w:left="13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 atto di registrazione n. :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del </w:t>
            </w:r>
            <w:r>
              <w:rPr>
                <w:rFonts w:cs="Arial" w:ascii="Arial" w:hAnsi="Arial"/>
                <w:sz w:val="16"/>
                <w:szCs w:val="16"/>
              </w:rPr>
            </w:r>
            <w:sdt>
              <w:sdtPr>
                <w:date>
                  <w:dateFormat w:val=""/>
                  <w:lid w:val="en-US"/>
                  <w:storeMappedDataAs w:val="dateTime"/>
                  <w:calendar w:val="gregorian"/>
                </w:date>
              </w:sdtPr>
              <w:sdtContent>
                <w:r/>
              </w:sdtContent>
            </w:sdt>
            <w:r>
              <w:rPr>
                <w:rFonts w:eastAsia="Arial Unicode MS" w:cs="Tahoma" w:ascii="Arial" w:hAnsi="Arial"/>
                <w:i/>
                <w:iCs/>
                <w:sz w:val="12"/>
                <w:szCs w:val="12"/>
              </w:rPr>
              <w:t xml:space="preserve"> </w:t>
            </w:r>
            <w:r>
              <w:rPr>
                <w:rFonts w:eastAsia="Arial Unicode MS" w:cs="Arial" w:ascii="Arial" w:hAnsi="Arial"/>
                <w:i/>
                <w:iCs/>
                <w:sz w:val="12"/>
                <w:szCs w:val="12"/>
              </w:rPr>
              <w:t>gg/mm/aaaa</w:t>
            </w:r>
          </w:p>
          <w:p>
            <w:pPr>
              <w:pStyle w:val="Normal"/>
              <w:spacing w:before="57" w:after="0"/>
              <w:ind w:left="130" w:right="0" w:hanging="0"/>
              <w:rPr>
                <w:rFonts w:ascii="Arial" w:hAnsi="Arial" w:eastAsia="Arial Unicode MS" w:cs="Arial"/>
                <w:i/>
                <w:i/>
                <w:iCs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i/>
                <w:iCs/>
                <w:sz w:val="16"/>
                <w:szCs w:val="16"/>
              </w:rPr>
              <w:t>(Se l'atto è in corso di registrazione, dovrà essere allegata la dichiarazione del notaio che lo attesti)</w:t>
            </w:r>
          </w:p>
          <w:p>
            <w:pPr>
              <w:pStyle w:val="Normal"/>
              <w:spacing w:before="57" w:after="0"/>
              <w:ind w:left="130" w:right="0" w:hanging="0"/>
              <w:rPr>
                <w:rFonts w:ascii="Arial" w:hAnsi="Arial" w:cs="Arial"/>
                <w:i/>
                <w:i/>
                <w:iCs/>
                <w:color w:val="999999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999999"/>
                <w:sz w:val="16"/>
                <w:szCs w:val="16"/>
              </w:rPr>
              <w:t>Si rammenta che a norma dell’art. 2556 c.c. i contratti di trasferimento di proprietà o gestione di un’azienda commerciale sono stipulati presso un notaio, in forma di atto pubblico o scrittura privata autenticata e registrata presso l’Agenzia delle Entrate.</w:t>
            </w:r>
          </w:p>
        </w:tc>
      </w:tr>
      <w:tr>
        <w:trPr>
          <w:trHeight w:val="399" w:hRule="atLeast"/>
        </w:trPr>
        <w:tc>
          <w:tcPr>
            <w:tcW w:w="9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left w:w="50" w:type="dxa"/>
              <w:bottom w:w="55" w:type="dxa"/>
              <w:right w:w="55" w:type="dxa"/>
            </w:tcMar>
          </w:tcPr>
          <w:p>
            <w:pPr>
              <w:pStyle w:val="Heading2"/>
              <w:keepNext w:val="true"/>
              <w:pageBreakBefore w:val="false"/>
              <w:numPr>
                <w:ilvl w:val="0"/>
                <w:numId w:val="0"/>
              </w:numPr>
              <w:snapToGrid w:val="false"/>
              <w:spacing w:before="68" w:after="62"/>
              <w:ind w:left="0" w:right="0" w:hanging="0"/>
              <w:rPr>
                <w:rFonts w:ascii="Arial" w:hAnsi="Arial" w:eastAsia="Arial Unicode MS" w:cs="Tahoma"/>
                <w:b/>
                <w:b/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rFonts w:eastAsia="Arial Unicode MS" w:cs="Tahoma"/>
                <w:b/>
                <w:i w:val="false"/>
                <w:iCs w:val="false"/>
                <w:color w:val="0000FF"/>
                <w:sz w:val="20"/>
                <w:szCs w:val="20"/>
              </w:rPr>
              <w:t>Dichiarazioni generali ai sensi e per gli effetti degli art. 46 e 47 del D.P.R. 445/2000</w:t>
            </w:r>
          </w:p>
        </w:tc>
      </w:tr>
      <w:tr>
        <w:trPr>
          <w:trHeight w:val="522" w:hRule="atLeast"/>
        </w:trPr>
        <w:tc>
          <w:tcPr>
            <w:tcW w:w="9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snapToGrid w:val="false"/>
              <w:spacing w:before="57" w:after="57"/>
              <w:ind w:left="0" w:right="0" w:hanging="0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Helvetica" w:cs="Helvetica" w:ascii="Helvetica" w:hAnsi="Helvetica"/>
                <w:i w:val="false"/>
                <w:iCs w:val="false"/>
                <w:sz w:val="16"/>
                <w:szCs w:val="16"/>
              </w:rPr>
              <w:t>Il/la sottoscritto/a,</w:t>
            </w: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  <w:t>c</w:t>
            </w:r>
            <w:r>
              <w:rPr>
                <w:rFonts w:cs="Arial" w:ascii="Arial" w:hAnsi="Arial"/>
                <w:i/>
                <w:sz w:val="16"/>
                <w:szCs w:val="16"/>
              </w:rPr>
              <w:t>onsapevole delle sanzioni penali previste dalla legge per le false dichiarazioni e attestazioni (art. 76 del D.P.R. n°445 del 28/12/2000 e Codice penale), sotto la propria responsabilità,</w:t>
            </w:r>
          </w:p>
        </w:tc>
      </w:tr>
      <w:tr>
        <w:trPr>
          <w:trHeight w:val="88" w:hRule="atLeast"/>
        </w:trPr>
        <w:tc>
          <w:tcPr>
            <w:tcW w:w="9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snapToGrid w:val="false"/>
              <w:spacing w:before="57" w:after="57"/>
              <w:ind w:left="0" w:right="0" w:hanging="0"/>
              <w:jc w:val="both"/>
              <w:rPr>
                <w:rFonts w:ascii="Arial" w:hAnsi="Arial" w:cs="Arial"/>
                <w:i w:val="false"/>
                <w:i w:val="false"/>
                <w:iCs w:val="false"/>
                <w:color w:val="999999"/>
                <w:sz w:val="16"/>
                <w:szCs w:val="16"/>
              </w:rPr>
            </w:pPr>
            <w:r>
              <w:rPr>
                <w:rFonts w:cs="Arial" w:ascii="Arial" w:hAnsi="Arial"/>
                <w:i w:val="false"/>
                <w:iCs w:val="false"/>
                <w:color w:val="999999"/>
                <w:sz w:val="16"/>
                <w:szCs w:val="16"/>
              </w:rPr>
              <w:t>Solo per commercio in spacci interni</w:t>
            </w:r>
            <w:r>
              <w:rPr>
                <w:rStyle w:val="FootnoteAnchor"/>
                <w:rFonts w:cs="Arial" w:ascii="Arial" w:hAnsi="Arial"/>
                <w:i w:val="false"/>
                <w:iCs w:val="false"/>
                <w:color w:val="999999"/>
                <w:sz w:val="16"/>
                <w:szCs w:val="16"/>
              </w:rPr>
              <w:footnoteReference w:id="3"/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999999"/>
                <w:sz w:val="16"/>
                <w:szCs w:val="16"/>
              </w:rPr>
              <w:t>(*)</w:t>
            </w:r>
            <w:r>
              <w:rPr>
                <w:rFonts w:cs="Arial" w:ascii="Arial" w:hAnsi="Arial"/>
                <w:i w:val="false"/>
                <w:iCs w:val="false"/>
                <w:color w:val="999999"/>
                <w:sz w:val="16"/>
                <w:szCs w:val="16"/>
              </w:rPr>
              <w:t>:</w:t>
            </w:r>
          </w:p>
          <w:p>
            <w:pPr>
              <w:pStyle w:val="Normal"/>
              <w:snapToGrid w:val="false"/>
              <w:spacing w:before="0" w:after="57"/>
              <w:ind w:left="0" w:right="0" w:hanging="0"/>
              <w:jc w:val="both"/>
              <w:rPr>
                <w:rFonts w:ascii="Arial" w:hAnsi="Arial" w:cs="Arial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  <w:t>dichiara che la vendita è effettuata esclusivamente a favore di:</w:t>
            </w:r>
          </w:p>
          <w:p>
            <w:pPr>
              <w:pStyle w:val="Normal"/>
              <w:snapToGrid w:val="false"/>
              <w:spacing w:before="57" w:after="57"/>
              <w:ind w:left="0" w:right="0" w:firstLine="170"/>
              <w:jc w:val="both"/>
              <w:rPr>
                <w:rFonts w:ascii="Arial" w:hAnsi="Arial" w:cs="Arial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</w: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  <w:t>dipendenti</w:t>
            </w:r>
          </w:p>
          <w:p>
            <w:pPr>
              <w:pStyle w:val="Normal"/>
              <w:snapToGrid w:val="false"/>
              <w:spacing w:before="0" w:after="57"/>
              <w:ind w:left="0" w:right="0" w:firstLine="170"/>
              <w:jc w:val="both"/>
              <w:rPr>
                <w:rFonts w:ascii="Arial" w:hAnsi="Arial" w:cs="Arial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</w: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  <w:t>militari</w:t>
            </w:r>
          </w:p>
          <w:p>
            <w:pPr>
              <w:pStyle w:val="Normal"/>
              <w:snapToGrid w:val="false"/>
              <w:spacing w:before="0" w:after="57"/>
              <w:ind w:left="0" w:right="0" w:firstLine="170"/>
              <w:jc w:val="both"/>
              <w:rPr>
                <w:rFonts w:ascii="Arial" w:hAnsi="Arial" w:cs="Arial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</w: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  <w:t>soci</w:t>
            </w:r>
          </w:p>
          <w:p>
            <w:pPr>
              <w:pStyle w:val="Normal"/>
              <w:snapToGrid w:val="false"/>
              <w:spacing w:before="0" w:after="57"/>
              <w:ind w:left="0" w:right="0" w:firstLine="170"/>
              <w:jc w:val="both"/>
              <w:rPr>
                <w:rFonts w:ascii="Arial" w:hAnsi="Arial" w:cs="Arial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</w: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  <w:t>coloro che hanno titolo ad accedervi all’interno di scuole</w:t>
            </w:r>
          </w:p>
          <w:p>
            <w:pPr>
              <w:pStyle w:val="Normal"/>
              <w:snapToGrid w:val="false"/>
              <w:spacing w:before="0" w:after="57"/>
              <w:ind w:left="0" w:right="0" w:firstLine="170"/>
              <w:jc w:val="both"/>
              <w:rPr>
                <w:rFonts w:ascii="Arial" w:hAnsi="Arial" w:cs="Arial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</w: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  <w:t>coloro che hanno titolo ad accedervi all’interno di ospedali</w:t>
            </w:r>
          </w:p>
        </w:tc>
      </w:tr>
      <w:tr>
        <w:trPr>
          <w:trHeight w:val="522" w:hRule="atLeast"/>
        </w:trPr>
        <w:tc>
          <w:tcPr>
            <w:tcW w:w="9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snapToGrid w:val="false"/>
              <w:spacing w:before="57" w:after="57"/>
              <w:ind w:left="0" w:right="0" w:hanging="0"/>
              <w:jc w:val="both"/>
              <w:rPr>
                <w:rFonts w:ascii="Arial" w:hAnsi="Arial" w:cs="Arial"/>
                <w:i w:val="false"/>
                <w:i w:val="false"/>
                <w:iCs w:val="false"/>
                <w:color w:val="999999"/>
                <w:sz w:val="16"/>
                <w:szCs w:val="16"/>
              </w:rPr>
            </w:pPr>
            <w:r>
              <w:rPr>
                <w:rFonts w:cs="Arial" w:ascii="Arial" w:hAnsi="Arial"/>
                <w:i w:val="false"/>
                <w:iCs w:val="false"/>
                <w:color w:val="999999"/>
                <w:sz w:val="16"/>
                <w:szCs w:val="16"/>
              </w:rPr>
              <w:t>Solo per commercio di prodotti alimentari mediante apparecchi automatici presso altri esercizi commerciali già abilitati o in altre strutture:</w:t>
            </w:r>
          </w:p>
          <w:p>
            <w:pPr>
              <w:pStyle w:val="Normal"/>
              <w:snapToGrid w:val="false"/>
              <w:spacing w:before="57" w:after="57"/>
              <w:ind w:left="0" w:right="0" w:hanging="0"/>
              <w:jc w:val="both"/>
              <w:rPr>
                <w:rFonts w:ascii="Arial" w:hAnsi="Arial" w:cs="Arial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  <w:t xml:space="preserve">dichiara di impegnarsi a comunicare entro il 30 gennaio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auto"/>
                <w:sz w:val="16"/>
                <w:szCs w:val="16"/>
              </w:rPr>
              <w:t>(*)</w:t>
            </w: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  <w:t xml:space="preserve"> di ogni anno al SUAP, che la trasmette all’Azienda per l'assistenza sanitaria, la disinstallazione / installazione di apparecchi automatici che distribuiscono prodotti alimentari</w:t>
            </w:r>
          </w:p>
        </w:tc>
      </w:tr>
      <w:tr>
        <w:trPr>
          <w:trHeight w:val="756" w:hRule="atLeast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snapToGrid w:val="false"/>
              <w:spacing w:before="40" w:after="0"/>
              <w:ind w:left="283" w:right="0" w:hanging="283"/>
              <w:rPr>
                <w:rFonts w:ascii="Arial" w:hAnsi="Arial" w:cs="Arial"/>
                <w:color w:val="999999"/>
                <w:sz w:val="16"/>
                <w:szCs w:val="16"/>
              </w:rPr>
            </w:pPr>
            <w:r>
              <w:rPr>
                <w:rFonts w:cs="Arial" w:ascii="Arial" w:hAnsi="Arial"/>
                <w:color w:val="999999"/>
                <w:sz w:val="16"/>
                <w:szCs w:val="16"/>
              </w:rPr>
              <w:t>Solo per commercio presso il domicilio del consumatore:</w:t>
            </w:r>
          </w:p>
          <w:p>
            <w:pPr>
              <w:pStyle w:val="Normal"/>
              <w:snapToGrid w:val="false"/>
              <w:spacing w:before="57" w:after="57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 caso in cui intenda avvalersi degli incaricati alla vendita, dichiara di impegnarsi a comunicarne l'elenco al SUAP, che lo trasmette all’autorità di pubblica sicurezza</w:t>
            </w:r>
          </w:p>
        </w:tc>
      </w:tr>
      <w:tr>
        <w:trPr>
          <w:trHeight w:val="756" w:hRule="atLeast"/>
        </w:trPr>
        <w:tc>
          <w:tcPr>
            <w:tcW w:w="9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snapToGrid w:val="false"/>
              <w:spacing w:before="57" w:after="57"/>
              <w:ind w:left="0" w:right="0" w:hanging="0"/>
              <w:rPr>
                <w:rFonts w:ascii="Arial" w:hAnsi="Arial" w:cs="Arial"/>
                <w:color w:val="999999"/>
                <w:sz w:val="16"/>
                <w:szCs w:val="16"/>
              </w:rPr>
            </w:pPr>
            <w:r>
              <w:rPr>
                <w:rFonts w:cs="Arial" w:ascii="Arial" w:hAnsi="Arial"/>
                <w:color w:val="999999"/>
                <w:sz w:val="16"/>
                <w:szCs w:val="16"/>
              </w:rPr>
              <w:t>Solo per attività di acconciatore e/o estetista:</w:t>
            </w:r>
          </w:p>
          <w:p>
            <w:pPr>
              <w:pStyle w:val="Normal"/>
              <w:snapToGrid w:val="false"/>
              <w:spacing w:before="57" w:after="57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dichiara di consentire i controlli nei locali da parte delle autorità competenti nel caso in cui l’esercizio dell’attività venga svolto presso la propria abitazione</w:t>
            </w:r>
          </w:p>
        </w:tc>
      </w:tr>
      <w:tr>
        <w:trPr>
          <w:trHeight w:val="369" w:hRule="atLeast"/>
        </w:trPr>
        <w:tc>
          <w:tcPr>
            <w:tcW w:w="9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snapToGrid w:val="false"/>
              <w:spacing w:before="40" w:after="0"/>
              <w:rPr>
                <w:i w:val="false"/>
                <w:i w:val="false"/>
                <w:iCs w:val="false"/>
                <w:color w:val="999999"/>
              </w:rPr>
            </w:pPr>
            <w:r>
              <w:rPr>
                <w:rFonts w:cs="Arial" w:ascii="Arial" w:hAnsi="Arial"/>
                <w:i w:val="false"/>
                <w:iCs w:val="false"/>
                <w:color w:val="999999"/>
                <w:sz w:val="16"/>
                <w:szCs w:val="16"/>
              </w:rPr>
              <w:t xml:space="preserve">Solo per Taxi e NCC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999999"/>
                <w:sz w:val="16"/>
                <w:szCs w:val="16"/>
              </w:rPr>
              <w:t>(*):</w:t>
            </w:r>
          </w:p>
          <w:p>
            <w:pPr>
              <w:pStyle w:val="Normal"/>
              <w:snapToGrid w:val="false"/>
              <w:spacing w:before="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Il subingresso è possibile in quanto il precedente titolare:</w:t>
            </w:r>
          </w:p>
          <w:p>
            <w:pPr>
              <w:pStyle w:val="Normal"/>
              <w:snapToGrid w:val="false"/>
              <w:spacing w:before="40" w:after="0"/>
              <w:ind w:left="170" w:right="0" w:hanging="0"/>
              <w:rPr/>
            </w:pP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rFonts w:cs="Arial" w:ascii="Arial" w:hAnsi="Arial"/>
                <w:i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E’ stato/stata titolare della licenza o di autorizzazione trasferita da più di cinque anni</w:t>
            </w:r>
          </w:p>
          <w:p>
            <w:pPr>
              <w:pStyle w:val="Normal"/>
              <w:snapToGrid w:val="false"/>
              <w:spacing w:before="57" w:after="0"/>
              <w:ind w:left="170" w:right="0" w:hanging="0"/>
              <w:rPr/>
            </w:pP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Ha raggiunto il sessantesimo anno di età</w:t>
            </w:r>
          </w:p>
          <w:p>
            <w:pPr>
              <w:pStyle w:val="Normal"/>
              <w:snapToGrid w:val="false"/>
              <w:spacing w:before="57" w:after="57"/>
              <w:ind w:left="170" w:right="0" w:hanging="0"/>
              <w:rPr/>
            </w:pPr>
            <w:r>
              <w:rPr>
                <w:rFonts w:cs="Arial" w:ascii="Arial" w:hAnsi="Arial"/>
                <w:sz w:val="18"/>
                <w:szCs w:val="18"/>
              </w:rPr>
            </w:r>
            <w:r>
              <w:rPr>
                <w:rFonts w:cs="Arial" w:ascii="Arial" w:hAnsi="Arial"/>
                <w:i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E’ divenuto/divenuta permanentemente inabile o inidoneo/inidonea al servizio per malattia, infortunio o per ritiro definitivo della patente di guida</w:t>
            </w:r>
          </w:p>
        </w:tc>
      </w:tr>
      <w:tr>
        <w:trPr>
          <w:trHeight w:val="423" w:hRule="atLeast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360" w:before="57" w:after="0"/>
              <w:rPr>
                <w:rFonts w:ascii="Arial" w:hAnsi="Arial" w:cs="Arial"/>
                <w:i w:val="false"/>
                <w:i w:val="false"/>
                <w:iCs w:val="false"/>
                <w:color w:val="999999"/>
                <w:sz w:val="16"/>
                <w:szCs w:val="16"/>
              </w:rPr>
            </w:pPr>
            <w:r>
              <w:rPr>
                <w:rFonts w:cs="Arial" w:ascii="Arial" w:hAnsi="Arial"/>
                <w:i w:val="false"/>
                <w:iCs w:val="false"/>
                <w:color w:val="999999"/>
                <w:sz w:val="16"/>
                <w:szCs w:val="16"/>
              </w:rPr>
              <w:t>Solo per subingresso su posteggio in area di fiera:</w:t>
            </w:r>
          </w:p>
          <w:p>
            <w:pPr>
              <w:pStyle w:val="Normal"/>
              <w:snapToGrid w:val="false"/>
              <w:spacing w:lineRule="auto" w:line="360" w:before="0" w:after="57"/>
              <w:rPr/>
            </w:pP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  <w:t xml:space="preserve">Estremi dell'autorizzazione del precedente titolare prot. n. </w:t>
            </w: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</w: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  <w:t xml:space="preserve"> del </w:t>
            </w:r>
            <w:r>
              <w:rPr>
                <w:rFonts w:cs="Arial" w:ascii="Arial" w:hAnsi="Arial"/>
                <w:i w:val="false"/>
                <w:iCs w:val="false"/>
                <w:sz w:val="16"/>
                <w:szCs w:val="16"/>
              </w:rPr>
            </w:r>
            <w:sdt>
              <w:sdtPr>
                <w:date>
                  <w:dateFormat w:val=""/>
                  <w:lid w:val="en-US"/>
                  <w:storeMappedDataAs w:val="dateTime"/>
                  <w:calendar w:val="gregorian"/>
                </w:date>
              </w:sdtPr>
              <w:sdtContent>
                <w:r/>
              </w:sdtContent>
            </w:sdt>
            <w:r>
              <w:rPr>
                <w:rFonts w:eastAsia="Arial Unicode MS" w:cs="Tahoma" w:ascii="Arial" w:hAnsi="Arial"/>
                <w:i/>
                <w:iCs/>
                <w:sz w:val="12"/>
                <w:szCs w:val="12"/>
              </w:rPr>
              <w:t xml:space="preserve"> </w:t>
            </w:r>
            <w:r>
              <w:rPr>
                <w:rFonts w:eastAsia="Arial Unicode MS" w:cs="Arial" w:ascii="Arial" w:hAnsi="Arial"/>
                <w:i/>
                <w:iCs/>
                <w:sz w:val="12"/>
                <w:szCs w:val="12"/>
              </w:rPr>
              <w:t>gg/mm/aaaa</w:t>
            </w:r>
          </w:p>
        </w:tc>
      </w:tr>
      <w:tr>
        <w:trPr>
          <w:trHeight w:val="399" w:hRule="atLeast"/>
        </w:trPr>
        <w:tc>
          <w:tcPr>
            <w:tcW w:w="9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360" w:before="57" w:after="57"/>
              <w:jc w:val="left"/>
              <w:rPr>
                <w:rFonts w:ascii="Arial" w:hAnsi="Arial"/>
                <w:i w:val="false"/>
                <w:i w:val="false"/>
                <w:iCs w:val="false"/>
                <w:color w:val="999999"/>
                <w:sz w:val="16"/>
                <w:szCs w:val="16"/>
              </w:rPr>
            </w:pPr>
            <w:r>
              <w:rPr>
                <w:rFonts w:ascii="Arial" w:hAnsi="Arial"/>
                <w:i w:val="false"/>
                <w:iCs w:val="false"/>
                <w:color w:val="999999"/>
                <w:sz w:val="16"/>
                <w:szCs w:val="16"/>
              </w:rPr>
              <w:t>In tutti i casi:</w:t>
            </w:r>
          </w:p>
          <w:p>
            <w:pPr>
              <w:pStyle w:val="Normal"/>
              <w:snapToGrid w:val="false"/>
              <w:spacing w:lineRule="auto" w:line="360" w:before="0" w:after="57"/>
              <w:jc w:val="left"/>
              <w:rPr>
                <w:rFonts w:ascii="Arial" w:hAnsi="Arial"/>
                <w:i w:val="false"/>
                <w:i w:val="false"/>
                <w:iCs w:val="false"/>
                <w:color w:val="auto"/>
                <w:sz w:val="16"/>
                <w:szCs w:val="16"/>
              </w:rPr>
            </w:pPr>
            <w:r>
              <w:rPr>
                <w:rFonts w:ascii="Arial" w:hAnsi="Arial"/>
                <w:i w:val="false"/>
                <w:iCs w:val="false"/>
                <w:color w:val="auto"/>
                <w:sz w:val="16"/>
                <w:szCs w:val="16"/>
              </w:rPr>
              <w:t>di impegnarsi a comunicare ogni variazione relativa a stati, fatti, condizioni e titolarità rispetto a quanto dichiarato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>INFORMATIVA SULLA PRIVACY (ART. 13 del d.lgs. n. 196/2003)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Finalità del trattamento. I dati personali saranno utilizzati dagli uffici nell’ambito del procedimento per il quale la dichiarazione viene resa.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Modalità del trattamento. I dati saranno trattati dagli incaricati sia con strumenti cartacei sia con strumenti informatici a disposizione degli uffici.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Ambito di comunicazione.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Diritti.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Titolare del trattamento: SUAP in cui è localizzata l'attività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Il/la sottoscritto/a dichiara di aver letto l’informativa sul trattamento dei dati personali.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619" w:type="dxa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5352"/>
        <w:gridCol w:w="4267"/>
      </w:tblGrid>
      <w:tr>
        <w:trPr/>
        <w:tc>
          <w:tcPr>
            <w:tcW w:w="9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TableContents"/>
              <w:pBdr/>
              <w:spacing w:before="0" w:after="0"/>
              <w:ind w:left="79" w:right="-85" w:hanging="0"/>
              <w:rPr>
                <w:rFonts w:ascii="Arial" w:hAnsi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b/>
                <w:color w:val="FF0000"/>
                <w:sz w:val="28"/>
                <w:szCs w:val="28"/>
              </w:rPr>
              <w:t>4. Opzioni di firma</w:t>
            </w:r>
          </w:p>
        </w:tc>
      </w:tr>
      <w:tr>
        <w:trPr/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TableContents"/>
              <w:suppressLineNumbers/>
              <w:pBdr/>
              <w:snapToGrid w:val="false"/>
              <w:spacing w:before="57" w:after="57"/>
              <w:ind w:left="57" w:right="131" w:hanging="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Cs w:val="false"/>
                <w:sz w:val="16"/>
                <w:szCs w:val="16"/>
              </w:rPr>
              <w:t>In caso sia stata conferita procura speciale</w:t>
            </w:r>
            <w:r>
              <w:rPr>
                <w:rFonts w:cs="Arial" w:ascii="Arial" w:hAnsi="Arial"/>
                <w:bCs w:val="false"/>
                <w:iCs w:val="false"/>
                <w:sz w:val="16"/>
                <w:szCs w:val="16"/>
              </w:rPr>
              <w:t xml:space="preserve">, il presente documento è sottoscritto con </w:t>
            </w:r>
            <w:r>
              <w:rPr>
                <w:rFonts w:cs="Arial" w:ascii="Arial" w:hAnsi="Arial"/>
                <w:b/>
                <w:bCs/>
                <w:iCs w:val="false"/>
                <w:sz w:val="16"/>
                <w:szCs w:val="16"/>
              </w:rPr>
              <w:t>firma autografa</w:t>
            </w:r>
            <w:r>
              <w:rPr>
                <w:rFonts w:cs="Arial" w:ascii="Arial" w:hAnsi="Arial"/>
                <w:bCs w:val="false"/>
                <w:iCs w:val="false"/>
                <w:sz w:val="16"/>
                <w:szCs w:val="16"/>
              </w:rPr>
              <w:t xml:space="preserve"> dal soggetto delegante e conservato in originale dal procuratore, il quale provvederà a firmare digitalmente il modulo inviato al SUAP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57" w:after="0"/>
              <w:ind w:left="103" w:right="0" w:hanging="0"/>
              <w:rPr>
                <w:rFonts w:ascii="Arial" w:hAnsi="Arial" w:cs="Arial"/>
                <w:b w:val="false"/>
                <w:bCs w:val="false"/>
                <w:i w:val="false"/>
                <w:iCs w:val="false"/>
                <w:sz w:val="12"/>
                <w:szCs w:val="12"/>
              </w:rPr>
            </w:pPr>
            <w:r>
              <w:rPr>
                <w:rFonts w:cs="Arial" w:ascii="Arial" w:hAnsi="Arial"/>
                <w:bCs w:val="false"/>
                <w:iCs w:val="false"/>
                <w:sz w:val="12"/>
                <w:szCs w:val="12"/>
              </w:rPr>
              <w:t>(Firma autografa in questo spazio)</w:t>
            </w:r>
          </w:p>
        </w:tc>
      </w:tr>
    </w:tbl>
    <w:p>
      <w:pPr>
        <w:pStyle w:val="Normal"/>
        <w:pageBreakBefore w:val="false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pageBreakBefore w:val="false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21" w:type="dxa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left w:w="103" w:type="dxa"/>
          <w:bottom w:w="108" w:type="dxa"/>
          <w:right w:w="108" w:type="dxa"/>
        </w:tblCellMar>
      </w:tblPr>
      <w:tblGrid>
        <w:gridCol w:w="9621"/>
      </w:tblGrid>
      <w:tr>
        <w:trPr>
          <w:trHeight w:val="284" w:hRule="atLeast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0" w:after="57"/>
              <w:jc w:val="both"/>
              <w:rPr>
                <w:rFonts w:ascii="Arial" w:hAnsi="Arial" w:cs="Arial"/>
                <w:b/>
                <w:b/>
                <w:color w:val="0000F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FF"/>
                <w:sz w:val="20"/>
                <w:szCs w:val="20"/>
              </w:rPr>
              <w:t>Note di compilazione</w:t>
            </w:r>
          </w:p>
          <w:p>
            <w:pPr>
              <w:pStyle w:val="Normal"/>
              <w:snapToGrid w:val="false"/>
              <w:jc w:val="lef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  <w:t>A seguito dell'Accordo raggiunto sulla modulistica unificata e standardizzata, approvata dalla Conferenza Unificata in data 4 maggio 2017: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1) Non potranno più essere richiesti certificati, atti e documenti che la Pubblica Amministrazione già possiede (per esempio: le certificazioni relative ai titoli di studio o professionali, richiesti per avviare alcune attività, la certificazione antimafia, etc.), ma solo gli elementi che consentano all'amministrazione di acquisirli o di effettuare i relativi controlli, anche a campione (articolo 18, legge n. 241 del 1990).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2) Non potranno più essere richiesti dati e adempimenti che derivano da prassi amministrative, ma che non sono espressamente previsti dalla legge (ad esempio: non potrà più essere richiesto il certificato di agibilità dei locali per l'avvio di un'attività commerciale o produttiva). Sarà sufficiente una semplice dichiarazione di conformità ai regolamenti urbanistici, igienico sanitari, etc.</w:t>
            </w:r>
          </w:p>
        </w:tc>
      </w:tr>
    </w:tbl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  <w:r>
        <w:br w:type="page"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900"/>
        <w:gridCol w:w="6738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pageBreakBefore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 xml:space="preserve">Quadro riepilogativo della documentazione allegata 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Il sistema SUAP in rete propone automaticamente i moduli e gli allegati necessari per il procedimento scelto</w:t>
            </w:r>
          </w:p>
        </w:tc>
      </w:tr>
      <w:tr>
        <w:trPr/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 xml:space="preserve">Denominazione </w:t>
            </w:r>
          </w:p>
        </w:tc>
        <w:tc>
          <w:tcPr>
            <w:tcW w:w="6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</w:tr>
      <w:tr>
        <w:trPr/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Procura/delega </w:t>
            </w:r>
          </w:p>
        </w:tc>
        <w:tc>
          <w:tcPr>
            <w:tcW w:w="6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di procura/delega a presentare la segnalazione</w:t>
            </w:r>
          </w:p>
        </w:tc>
      </w:tr>
      <w:tr>
        <w:trPr/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Copia del documento di identità del/i titolare/i</w:t>
            </w:r>
          </w:p>
        </w:tc>
        <w:tc>
          <w:tcPr>
            <w:tcW w:w="6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in cui la segnalazione non sia sottoscritta in forma digitale e in assenza di procura</w:t>
            </w:r>
          </w:p>
        </w:tc>
      </w:tr>
      <w:tr>
        <w:trPr/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Dichiarazioni sul possesso dei requisiti da parte degli altri soci + copia del documento di identità</w:t>
            </w:r>
          </w:p>
        </w:tc>
        <w:tc>
          <w:tcPr>
            <w:tcW w:w="6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Sempre, in presenza di soggetti (es. soci) diversi dal dichiarante</w:t>
            </w:r>
          </w:p>
        </w:tc>
      </w:tr>
      <w:tr>
        <w:trPr/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Dichiarazioni sul possesso dei requisiti da parte del preposto + copia del documento di identità</w:t>
            </w:r>
          </w:p>
        </w:tc>
        <w:tc>
          <w:tcPr>
            <w:tcW w:w="6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di subingresso in attività di commercio di prodotti alimentari e/o somministrazione, in presenza di un preposto</w:t>
            </w:r>
          </w:p>
        </w:tc>
      </w:tr>
      <w:tr>
        <w:trPr/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Dichiarazioni sul possesso dei requisiti da parte del responsabile tecnico (Allegati C e/o D) + copia del documento di identità</w:t>
            </w:r>
          </w:p>
        </w:tc>
        <w:tc>
          <w:tcPr>
            <w:tcW w:w="6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di subingresso in attività di acconciatore e/o estetista, in presenza di un Responsabile tecnico diverso dal dichiarante</w:t>
            </w:r>
          </w:p>
        </w:tc>
      </w:tr>
      <w:tr>
        <w:trPr/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Dichiarazione da parte del notaio</w:t>
            </w:r>
          </w:p>
        </w:tc>
        <w:tc>
          <w:tcPr>
            <w:tcW w:w="6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 caso in cui l’atto alla base del subingresso sia in corso di registrazione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863"/>
        <w:gridCol w:w="5775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SEGNALAZIONI O COMUNICAZIONI COLLEGATE (utilizzando il sistema telematico)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numPr>
                <w:ilvl w:val="1"/>
                <w:numId w:val="1"/>
              </w:numPr>
              <w:spacing w:before="57" w:after="57"/>
              <w:ind w:left="0" w:right="0" w:hanging="576"/>
              <w:jc w:val="center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Segnalazioni e comunicazioni</w:t>
            </w:r>
          </w:p>
        </w:tc>
      </w:tr>
      <w:tr>
        <w:trPr/>
        <w:tc>
          <w:tcPr>
            <w:tcW w:w="3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Notifica sanitaria (art. 6, Reg.CE n. 852/2004) </w:t>
            </w:r>
          </w:p>
        </w:tc>
        <w:tc>
          <w:tcPr>
            <w:tcW w:w="5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Sempre obbligatoria in caso di esercizio alimentare</w:t>
            </w:r>
          </w:p>
        </w:tc>
      </w:tr>
      <w:tr>
        <w:trPr/>
        <w:tc>
          <w:tcPr>
            <w:tcW w:w="38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SCIA per la vendita di prodotti agricoli e zootecnici, mangimi, prodotti di origine minerale e chimico industriali destinati all’alimentazione animale</w:t>
            </w:r>
          </w:p>
        </w:tc>
        <w:tc>
          <w:tcPr>
            <w:tcW w:w="5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 caso di vendita di prodotti agricoli e zootecnici, mangimi, prodotti di origine minerale e chimico industriali destinati all’alimentazione animale</w:t>
            </w:r>
          </w:p>
        </w:tc>
      </w:tr>
      <w:tr>
        <w:trPr/>
        <w:tc>
          <w:tcPr>
            <w:tcW w:w="38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Comunicazione, che vale quale denuncia per la vendita di alcolici (D.Lgs. n. 504/1995) </w:t>
            </w:r>
          </w:p>
        </w:tc>
        <w:tc>
          <w:tcPr>
            <w:tcW w:w="5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 caso di vendita di alcolici</w:t>
            </w:r>
          </w:p>
        </w:tc>
      </w:tr>
      <w:tr>
        <w:trPr/>
        <w:tc>
          <w:tcPr>
            <w:tcW w:w="38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SCIA prevenzione incendi</w:t>
            </w:r>
          </w:p>
        </w:tc>
        <w:tc>
          <w:tcPr>
            <w:tcW w:w="5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 caso di esercizio con superficie totale lorda, comprensiva di servizi e depositi (es. magazzini), superiore a 400 mq, o comunque se l’attività ricade in uno qualsiasi dei punti dell’Allegato I al D.P.R. n. 151/2011, ovvero In caso di vendita di gas liquefatti (GPL) in recipienti mobili con quantitativi superiori o uguali a 75 kg, ovvero In caso di vendita di gas infiammabili in recipienti mobili compressi con capacità geometrica Complessiva superiore o uguale a 0,75 mc</w:t>
            </w:r>
          </w:p>
        </w:tc>
      </w:tr>
      <w:tr>
        <w:trPr/>
        <w:tc>
          <w:tcPr>
            <w:tcW w:w="38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Comunicazione per la vendita di farmaci da banco e medicinali veterinari </w:t>
            </w:r>
          </w:p>
        </w:tc>
        <w:tc>
          <w:tcPr>
            <w:tcW w:w="5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 caso di vendita di farmaci da banco o medicinali veterinari</w:t>
            </w:r>
          </w:p>
        </w:tc>
      </w:tr>
      <w:tr>
        <w:trPr/>
        <w:tc>
          <w:tcPr>
            <w:tcW w:w="38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Comunicazione per la vendita di gas petrolio liquefatto (GPL) per combustione</w:t>
            </w:r>
          </w:p>
        </w:tc>
        <w:tc>
          <w:tcPr>
            <w:tcW w:w="5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 caso di vendita di gas di petrolio liquefatto (GPL) per combustione</w:t>
            </w:r>
          </w:p>
        </w:tc>
      </w:tr>
      <w:tr>
        <w:trPr/>
        <w:tc>
          <w:tcPr>
            <w:tcW w:w="38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Comunicazione, che vale quale denuncia per la vendita di gas infiammabili in recipienti mobili compressi (D.Lgs. n. 504/1995)</w:t>
            </w:r>
          </w:p>
        </w:tc>
        <w:tc>
          <w:tcPr>
            <w:tcW w:w="5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 caso di vendita di gas infiammabili in recipienti mobili compressi</w:t>
            </w:r>
          </w:p>
        </w:tc>
      </w:tr>
      <w:tr>
        <w:trPr/>
        <w:tc>
          <w:tcPr>
            <w:tcW w:w="38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SCIA per insegna di esercizio</w:t>
            </w:r>
          </w:p>
        </w:tc>
        <w:tc>
          <w:tcPr>
            <w:tcW w:w="5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In caso di attività che preveda insegna esterna (dove è prevista la SCIA) </w:t>
            </w:r>
          </w:p>
        </w:tc>
      </w:tr>
      <w:tr>
        <w:trPr/>
        <w:tc>
          <w:tcPr>
            <w:tcW w:w="38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Altre comunicazioni o segnalazioni previste dalla normativa regionale (*)</w:t>
            </w:r>
          </w:p>
        </w:tc>
        <w:tc>
          <w:tcPr>
            <w:tcW w:w="5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Se espressamente previste dalla normativa regionale di settore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853"/>
        <w:gridCol w:w="5785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rPr>
                <w:rFonts w:ascii="Arial" w:hAnsi="Arial" w:eastAsia="Arial Unicode MS" w:cs="Tahoma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i w:val="false"/>
                <w:iCs w:val="false"/>
                <w:color w:val="0000FF"/>
                <w:sz w:val="16"/>
                <w:szCs w:val="16"/>
              </w:rPr>
              <w:t>ALTRI ALLEGATI (attestazioni relative al versamento di oneri, diritti, etc. e dell’imposta di bollo)</w:t>
            </w:r>
          </w:p>
        </w:tc>
      </w:tr>
      <w:tr>
        <w:trPr/>
        <w:tc>
          <w:tcPr>
            <w:tcW w:w="38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Denominazione</w:t>
            </w:r>
          </w:p>
        </w:tc>
        <w:tc>
          <w:tcPr>
            <w:tcW w:w="5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2"/>
              <w:keepNext w:val="true"/>
              <w:numPr>
                <w:ilvl w:val="0"/>
                <w:numId w:val="0"/>
              </w:numPr>
              <w:spacing w:before="57" w:after="57"/>
              <w:ind w:left="0" w:right="0" w:hanging="0"/>
              <w:jc w:val="center"/>
              <w:rPr>
                <w:rFonts w:ascii="Arial" w:hAnsi="Arial"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</w:tr>
      <w:tr>
        <w:trPr/>
        <w:tc>
          <w:tcPr>
            <w:tcW w:w="3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Attestazione del versamento di oneri, di diritti, ecc.(*) </w:t>
            </w:r>
          </w:p>
        </w:tc>
        <w:tc>
          <w:tcPr>
            <w:tcW w:w="5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Nella misura e con le modalità indicate sul sito dell’amministrazione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1134" w:top="1785" w:footer="1134" w:bottom="1601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elvetica">
    <w:altName w:val="Arial"/>
    <w:charset w:val="00"/>
    <w:family w:val="swiss"/>
    <w:pitch w:val="default"/>
  </w:font>
  <w:font w:name="Arial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>
        <w:rFonts w:ascii="Arial" w:hAnsi="Arial"/>
        <w:sz w:val="16"/>
        <w:szCs w:val="16"/>
      </w:rPr>
      <w:t>/</w:t>
    </w:r>
    <w:r>
      <w:rPr>
        <w:rFonts w:ascii="Arial" w:hAnsi="Arial"/>
        <w:sz w:val="16"/>
        <w:szCs w:val="16"/>
      </w:rPr>
      <w:fldChar w:fldCharType="begin"/>
    </w:r>
    <w:r>
      <w:instrText> NUMPAGES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>
          <w:sz w:val="12"/>
          <w:szCs w:val="12"/>
        </w:rPr>
      </w:pPr>
      <w:r>
        <w:rPr>
          <w:rFonts w:ascii="Arial" w:hAnsi="Arial"/>
          <w:sz w:val="12"/>
          <w:szCs w:val="12"/>
        </w:rPr>
        <w:footnoteRef/>
        <w:tab/>
        <w:t xml:space="preserve">Altre cause possono essere, ad es, Subaffitto, </w:t>
      </w:r>
      <w:r>
        <w:rPr>
          <w:rFonts w:cs="Arial" w:ascii="Arial" w:hAnsi="Arial"/>
          <w:sz w:val="12"/>
          <w:szCs w:val="12"/>
        </w:rPr>
        <w:t>Cessione in comodato, Trasformazione societaria, Conferimento da ditta individuale a società, Scioglimento di società, Trasformazione da affitto a proprietà, eccetera</w:t>
      </w:r>
    </w:p>
  </w:footnote>
  <w:footnote w:id="3">
    <w:p>
      <w:pPr>
        <w:pStyle w:val="Footnote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footnoteRef/>
        <w:tab/>
        <w:t>Spacci interni: Le amministrazioni pubbliche, le imprese e i circoli privati, le cooperative di consumo e i loro consorzi, le associazioni di volontariato, le ONLUS, le associazioni e le cooperative senza fini di lucro, possono esercitare la vendita al dettaglio a favore rispettivamente dei propri dipendenti, dei propri soci e dei familiari, in locali non aperti al pubblico, di superficie non superiore a metri quadrati 250 e privi di accesso diretto dalla pubblica via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ing7"/>
      <w:numPr>
        <w:ilvl w:val="6"/>
        <w:numId w:val="1"/>
      </w:numPr>
      <w:snapToGrid w:val="false"/>
      <w:spacing w:before="0" w:after="0"/>
      <w:jc w:val="left"/>
      <w:outlineLvl w:val="6"/>
      <w:rPr>
        <w:rFonts w:ascii="Arial" w:hAnsi="Arial" w:cs="Arial"/>
        <w:b/>
        <w:b/>
        <w:bCs/>
        <w:i w:val="false"/>
        <w:i w:val="false"/>
        <w:color w:val="999999"/>
        <w:sz w:val="16"/>
        <w:szCs w:val="16"/>
      </w:rPr>
    </w:pPr>
    <w:r>
      <w:rPr>
        <w:rFonts w:cs="Arial" w:ascii="Arial" w:hAnsi="Arial"/>
        <w:b/>
        <w:bCs/>
        <w:i w:val="false"/>
        <w:color w:val="999999"/>
        <w:sz w:val="16"/>
        <w:szCs w:val="16"/>
      </w:rPr>
      <w:t>C2 – Subingresso</w:t>
    </w:r>
  </w:p>
  <w:p>
    <w:pPr>
      <w:pStyle w:val="Normal"/>
      <w:spacing w:before="0" w:after="0"/>
      <w:rPr>
        <w:rFonts w:ascii="Arial" w:hAnsi="Arial"/>
        <w:b/>
        <w:b/>
        <w:bCs/>
        <w:color w:val="999999"/>
        <w:sz w:val="16"/>
        <w:szCs w:val="16"/>
      </w:rPr>
    </w:pPr>
    <w:r>
      <w:rPr>
        <w:rFonts w:ascii="Arial" w:hAnsi="Arial"/>
        <w:b/>
        <w:bCs/>
        <w:color w:val="999999"/>
        <w:sz w:val="16"/>
        <w:szCs w:val="16"/>
      </w:rPr>
      <w:t>Data ultima versione del modello: 19/06/2017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it-IT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color w:val="FF3333"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2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0" w:after="0"/>
      <w:ind w:left="0" w:right="0" w:hanging="0"/>
      <w:textAlignment w:val="center"/>
      <w:outlineLvl w:val="2"/>
    </w:pPr>
    <w:rPr>
      <w:b w:val="false"/>
      <w:bCs/>
      <w:sz w:val="18"/>
      <w:szCs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left" w:pos="1980" w:leader="none"/>
      </w:tabs>
      <w:spacing w:before="0" w:after="0"/>
      <w:ind w:left="0" w:right="0" w:hanging="0"/>
      <w:jc w:val="center"/>
      <w:outlineLvl w:val="6"/>
    </w:pPr>
    <w:rPr>
      <w:i/>
      <w:iCs/>
      <w:sz w:val="20"/>
    </w:rPr>
  </w:style>
  <w:style w:type="paragraph" w:styleId="Heading8">
    <w:name w:val="Heading 8"/>
    <w:basedOn w:val="Heading"/>
    <w:next w:val="TextBody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Heading"/>
    <w:next w:val="TextBod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NumberingSymbols">
    <w:name w:val="Numbering Symbols"/>
    <w:qFormat/>
    <w:rPr/>
  </w:style>
  <w:style w:type="character" w:styleId="WW8Num3z0">
    <w:name w:val="WW8Num3z0"/>
    <w:qFormat/>
    <w:rPr>
      <w:rFonts w:ascii="Symbol" w:hAnsi="Symbol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ableContents">
    <w:name w:val="Table Contents"/>
    <w:basedOn w:val="Normal"/>
    <w:qFormat/>
    <w:pPr>
      <w:suppressLineNumbers/>
    </w:pPr>
    <w:rPr>
      <w:rFonts w:ascii="Arial" w:hAnsi="Arial"/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ing10">
    <w:name w:val="Heading 10"/>
    <w:basedOn w:val="Heading"/>
    <w:next w:val="TextBod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numbering" w:styleId="Numbering1">
    <w:name w:val="Numbering 1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2182</TotalTime>
  <Application>LibreOffice/5.3.6.1$Linux_X86_64 LibreOffice_project/30$Build-1</Application>
  <Pages>3</Pages>
  <Words>1527</Words>
  <CharactersWithSpaces>10459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2012-11-28T09:45:51Z</dcterms:created>
  <dc:creator>Livio Metton</dc:creator>
  <dc:description>Versione 1.0</dc:description>
  <dc:language>en-US</dc:language>
  <cp:lastModifiedBy/>
  <cp:lastPrinted>2013-07-09T17:03:26Z</cp:lastPrinted>
  <dcterms:modified xsi:type="dcterms:W3CDTF">2017-06-09T15:06:43Z</dcterms:modified>
  <cp:revision>331</cp:revision>
  <dc:subject/>
  <dc:title/>
</cp:coreProperties>
</file>