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255" w:hRule="atLeast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 ex art. </w:t>
            </w:r>
            <w:hyperlink r:id="rId2">
              <w:r>
                <w:rPr>
                  <w:rStyle w:val="InternetLink"/>
                  <w:rFonts w:cs="Arial" w:ascii="Arial" w:hAnsi="Arial"/>
                  <w:b/>
                  <w:bCs/>
                  <w:sz w:val="18"/>
                  <w:szCs w:val="18"/>
                </w:rPr>
                <w:t>24 della L.R. 12/02</w:t>
              </w:r>
            </w:hyperlink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6 luglio 2017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55" w:hRule="atLeast"/>
        </w:trPr>
        <w:tc>
          <w:tcPr>
            <w:tcW w:w="4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</w:t>
            </w:r>
            <w:r>
              <w:rPr>
                <w:rFonts w:cs="Arial"/>
                <w:b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1.2 </w:t>
            </w:r>
            <w:r>
              <w:rPr>
                <w:rFonts w:cs="Arial"/>
                <w:b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>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15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1.3 </w:t>
            </w:r>
            <w:r>
              <w:rPr>
                <w:rFonts w:cs="Arial"/>
                <w:b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>Indirizzo dell'esercizio</w:t>
            </w:r>
          </w:p>
        </w:tc>
      </w:tr>
      <w:tr>
        <w:trPr>
          <w:trHeight w:val="751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00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12"/>
        <w:gridCol w:w="7088"/>
      </w:tblGrid>
      <w:tr>
        <w:trPr>
          <w:trHeight w:val="454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Heading1"/>
              <w:keepNext w:val="true"/>
              <w:numPr>
                <w:ilvl w:val="0"/>
                <w:numId w:val="0"/>
              </w:numPr>
              <w:spacing w:before="57" w:after="0"/>
              <w:rPr>
                <w:rFonts w:ascii="Arial" w:hAnsi="Arial"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2. Specifiche relative all’attività</w:t>
            </w:r>
          </w:p>
        </w:tc>
      </w:tr>
      <w:tr>
        <w:trPr>
          <w:trHeight w:val="148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 xml:space="preserve">2.1 – Tipologia dell’esercizio </w:t>
            </w:r>
          </w:p>
        </w:tc>
      </w:tr>
      <w:tr>
        <w:trPr>
          <w:trHeight w:val="148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Tintolavanderia</w:t>
            </w:r>
            <w:r>
              <w:rPr>
                <w:rStyle w:val="FootnoteAnchor"/>
                <w:rFonts w:cs="Arial" w:ascii="Arial" w:hAnsi="Arial"/>
                <w:sz w:val="16"/>
                <w:szCs w:val="16"/>
              </w:rPr>
              <w:footnoteReference w:id="2"/>
            </w:r>
          </w:p>
          <w:p>
            <w:pPr>
              <w:pStyle w:val="Normal"/>
              <w:snapToGrid w:val="false"/>
              <w:spacing w:before="57" w:after="57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Lavanderia self-service a gettone</w:t>
            </w:r>
            <w:r>
              <w:rPr>
                <w:rStyle w:val="FootnoteAnchor"/>
                <w:rFonts w:cs="Arial" w:ascii="Arial" w:hAnsi="Arial"/>
                <w:sz w:val="16"/>
                <w:szCs w:val="16"/>
              </w:rPr>
              <w:footnoteReference w:id="3"/>
            </w:r>
          </w:p>
        </w:tc>
      </w:tr>
      <w:tr>
        <w:trPr>
          <w:trHeight w:val="148" w:hRule="atLeast"/>
        </w:trPr>
        <w:tc>
          <w:tcPr>
            <w:tcW w:w="9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lineRule="auto" w:line="240"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t>2.2 Attività collocata in centro commerciale o complesso commerciale</w:t>
            </w:r>
          </w:p>
        </w:tc>
      </w:tr>
      <w:tr>
        <w:trPr>
          <w:trHeight w:val="148" w:hRule="atLeast"/>
        </w:trPr>
        <w:tc>
          <w:tcPr>
            <w:tcW w:w="9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Fonts w:eastAsia="Arial Unicode MS" w:cs="Tahoma" w:ascii="Arial" w:hAnsi="Arial"/>
                <w:bCs w:val="false"/>
                <w:i w:val="false"/>
                <w:iCs w:val="false"/>
                <w:color w:val="0000FF"/>
                <w:sz w:val="16"/>
                <w:szCs w:val="16"/>
              </w:rPr>
            </w:r>
            <w:r>
              <w:rPr>
                <w:rFonts w:eastAsia="Arial Unicode MS" w:cs="Tahoma" w:ascii="Arial" w:hAnsi="Arial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 </w:t>
            </w:r>
            <w:r>
              <w:rPr>
                <w:rFonts w:eastAsia="Arial Unicode MS" w:cs="Arial" w:ascii="Arial" w:hAnsi="Arial"/>
                <w:bCs w:val="false"/>
                <w:i w:val="false"/>
                <w:iCs w:val="false"/>
                <w:color w:val="auto"/>
                <w:sz w:val="16"/>
                <w:szCs w:val="16"/>
              </w:rPr>
              <w:t xml:space="preserve">Si denominazione </w:t>
            </w:r>
            <w:r>
              <w:rPr>
                <w:rFonts w:eastAsia="Arial Unicode MS" w:cs="Arial" w:ascii="Arial" w:hAnsi="Arial"/>
                <w:bCs w:val="false"/>
                <w:i w:val="false"/>
                <w:iCs w:val="false"/>
                <w:color w:val="auto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Fonts w:eastAsia="Arial Unicode MS" w:cs="Arial" w:ascii="Arial" w:hAnsi="Arial"/>
                <w:bCs w:val="false"/>
                <w:i w:val="false"/>
                <w:iCs w:val="false"/>
                <w:color w:val="auto"/>
                <w:sz w:val="16"/>
                <w:szCs w:val="16"/>
              </w:rPr>
            </w:r>
            <w:r>
              <w:rPr>
                <w:rFonts w:eastAsia="Arial Unicode MS" w:cs="Arial" w:ascii="Arial" w:hAnsi="Arial"/>
                <w:bCs w:val="false"/>
                <w:i w:val="false"/>
                <w:iCs w:val="false"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Arial Unicode MS" w:cs="Arial" w:ascii="Arial" w:hAnsi="Arial"/>
                <w:bCs w:val="false"/>
                <w:i w:val="false"/>
                <w:iCs w:val="false"/>
                <w:color w:val="auto"/>
                <w:sz w:val="16"/>
                <w:szCs w:val="16"/>
              </w:rPr>
              <w:t>No</w:t>
            </w:r>
          </w:p>
        </w:tc>
      </w:tr>
      <w:tr>
        <w:trPr>
          <w:trHeight w:val="218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 xml:space="preserve">2.3 – Superficie di esercizio dell’attività </w:t>
            </w:r>
          </w:p>
        </w:tc>
      </w:tr>
      <w:tr>
        <w:trPr>
          <w:trHeight w:val="218" w:hRule="atLeast"/>
        </w:trPr>
        <w:tc>
          <w:tcPr>
            <w:tcW w:w="9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Superficie destinata all’attività di tintolavanderia/lavanderia a gettoni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m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2     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0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Superficie adibita ad altri usi                                                               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m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2     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0" w:after="57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Superficie complessiva   </w:t>
            </w:r>
            <w:r>
              <w:rPr>
                <w:rFonts w:cs="Arial" w:ascii="Arial" w:hAnsi="Arial"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</w:t>
            </w:r>
            <w:r>
              <w:rPr>
                <w:rFonts w:cs="Arial" w:ascii="Arial" w:hAnsi="Arial"/>
                <w:b w:val="false"/>
                <w:bCs w:val="false"/>
                <w:position w:val="0"/>
                <w:sz w:val="16"/>
                <w:sz w:val="16"/>
                <w:szCs w:val="16"/>
                <w:vertAlign w:val="baseline"/>
              </w:rPr>
              <w:t>m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 2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lineRule="auto" w:line="240" w:before="0" w:after="57"/>
              <w:ind w:left="57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2"/>
                <w:szCs w:val="12"/>
              </w:rPr>
              <w:t>(la superficie da indicare deve essere uguale alla somma delle superfici sopra riportate)</w:t>
            </w:r>
          </w:p>
        </w:tc>
      </w:tr>
      <w:tr>
        <w:trPr>
          <w:trHeight w:val="218" w:hRule="atLeast"/>
        </w:trPr>
        <w:tc>
          <w:tcPr>
            <w:tcW w:w="9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t>2.4 Esercizio a carattere</w:t>
            </w:r>
          </w:p>
        </w:tc>
      </w:tr>
      <w:tr>
        <w:trPr>
          <w:trHeight w:val="397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16"/>
                <w:szCs w:val="16"/>
              </w:rPr>
              <w:t>Permanente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16"/>
                <w:szCs w:val="16"/>
              </w:rPr>
              <w:t xml:space="preserve">Stagionale dal 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al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  <w:r>
              <w:rPr>
                <w:rFonts w:eastAsia="Arial Unicode MS" w:cs="Arial" w:ascii="Arial" w:hAnsi="Arial"/>
                <w:i/>
                <w:iCs/>
                <w:sz w:val="12"/>
                <w:szCs w:val="12"/>
              </w:rPr>
              <w:t>(gg/mm)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8"/>
        <w:gridCol w:w="23"/>
        <w:gridCol w:w="4824"/>
      </w:tblGrid>
      <w:tr>
        <w:trPr>
          <w:trHeight w:val="284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true"/>
              <w:snapToGrid w:val="false"/>
              <w:spacing w:before="57" w:after="57"/>
              <w:rPr>
                <w:rFonts w:ascii="Arial" w:hAnsi="Arial" w:eastAsia="Arial Unicode MS" w:cs="Tahoma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>2.5 – 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di nascita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 </w:t>
            </w: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br w:type="page"/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39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di essere il/la responsabile tecnico/a e di essere in possesso di apposita idoneità professionale, comprovata dal possesso di almeno uno dei seguenti requisiti (art. 2, comma 2, della L. n. 84 del 2006 e specifiche disposizioni regionali di settore)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il responsabile tecnico è un soggetto terzo, che ha accettato la designazione e ha compilato le dichiarazioni di possesso dei requisiti morali e professionali</w:t>
            </w:r>
          </w:p>
        </w:tc>
      </w:tr>
      <w:tr>
        <w:trPr>
          <w:trHeight w:val="39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l’attività impiega lavatrici ad acqua analoghe a quelle di uso domestico, che effettivamente trattino:</w:t>
            </w:r>
          </w:p>
          <w:p>
            <w:pPr>
              <w:pStyle w:val="Normal"/>
              <w:snapToGrid w:val="false"/>
              <w:spacing w:before="0" w:after="57"/>
              <w:ind w:left="340" w:right="0" w:hanging="0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meno di 100 kg biancheria al giorno</w:t>
            </w:r>
          </w:p>
          <w:p>
            <w:pPr>
              <w:pStyle w:val="Normal"/>
              <w:snapToGrid w:val="false"/>
              <w:spacing w:before="0" w:after="57"/>
              <w:ind w:left="340" w:right="0" w:hanging="0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più di 100 kg di biancheria al giorno, e pertanto presenta in allegato la documentazione per la richiesta di AUA per gli scarichi di acque reflue (*)</w:t>
            </w:r>
          </w:p>
        </w:tc>
      </w:tr>
      <w:tr>
        <w:trPr>
          <w:trHeight w:val="39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extBody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dichiara inoltre, relativamente ai locali di attività, di aver rispettato:</w:t>
            </w:r>
          </w:p>
          <w:p>
            <w:pPr>
              <w:pStyle w:val="TextBody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locali di polizia urbana, annonaria e di igiene e sanità, i regolamenti edilizi e le norme urbanistiche, nonché quelle relative alle destinazioni d'uso</w:t>
            </w:r>
          </w:p>
        </w:tc>
      </w:tr>
      <w:tr>
        <w:trPr>
          <w:trHeight w:val="39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dichiara inoltre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57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rispettare le norme sulla sicurezza sui luoghi di lavoro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57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34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 xml:space="preserve">(*) </w:t>
            </w:r>
            <w:r>
              <w:rPr>
                <w:rFonts w:cs="Arial" w:ascii="Arial" w:hAnsi="Arial"/>
                <w:b/>
                <w:color w:val="0000FF"/>
                <w:sz w:val="16"/>
                <w:szCs w:val="16"/>
              </w:rPr>
              <w:t>Dichiarazioni specifiche in materia di gioco lecito (selezionare un'opzione)</w:t>
            </w:r>
            <w:r>
              <w:rPr>
                <w:rStyle w:val="FootnoteAnchor"/>
                <w:rFonts w:cs="Arial" w:ascii="Arial" w:hAnsi="Arial"/>
                <w:b/>
                <w:color w:val="0000FF"/>
                <w:sz w:val="16"/>
                <w:szCs w:val="16"/>
              </w:rPr>
              <w:footnoteReference w:id="4"/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di non detenere alcun apparecchio per il gioco lecito</w:t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detenere n.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apparecchi per il gioco lecito collegati alla rete telematica SOGEI a una distanza superiore a 500 metri dai luoghi sensibili   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detenere n.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apparecchi per il gioco lecito collegati alla rete telematica SOGEI in data anteriore al 3 agosto 2017, a una distanza inferiore a 500 metri dai luoghi sensibili; 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b) entro tre anni nel caso di qualsiasi altra attività (3 agosto 2020)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detenere n.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apparecchi per il gioco lecito collegati alla rete telematica SOGEI in data anteriore al 3 agosto 2017, a una distanza inferiore a 500 metri dai luoghi sensibili, ma di avvalersi della deroga prevista dall'art.6, comma 11 della L.R. 1/2014</w:t>
            </w:r>
            <w:r>
              <w:rPr>
                <w:rStyle w:val="FootnoteAnchor"/>
                <w:rFonts w:cs="Arial" w:ascii="Arial" w:hAnsi="Arial"/>
                <w:b w:val="false"/>
                <w:bCs w:val="false"/>
                <w:sz w:val="16"/>
                <w:szCs w:val="16"/>
              </w:rPr>
              <w:footnoteReference w:id="5"/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di collocare n.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nuovi apparecchi per il gioco lecito a una distanza superiore a 500 metri dai luoghi sensibili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sostituire apparecchi per il gioco lecito già collegati alla rete telematica SOGEI: 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cui n. 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per vetustà</w:t>
            </w:r>
            <w:r>
              <w:rPr>
                <w:rStyle w:val="FootnoteAnchor"/>
                <w:rFonts w:cs="Arial" w:ascii="Arial" w:hAnsi="Arial"/>
                <w:b w:val="false"/>
                <w:bCs w:val="false"/>
                <w:sz w:val="16"/>
                <w:szCs w:val="16"/>
              </w:rPr>
              <w:footnoteReference w:id="6"/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di cui n. 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per guasto</w:t>
            </w:r>
            <w:r>
              <w:rPr>
                <w:rStyle w:val="FootnoteAnchor"/>
                <w:rFonts w:cs="Arial" w:ascii="Arial" w:hAnsi="Arial"/>
                <w:b w:val="false"/>
                <w:bCs w:val="false"/>
                <w:sz w:val="16"/>
                <w:szCs w:val="16"/>
              </w:rPr>
              <w:footnoteReference w:id="7"/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specificare il motivo della vetustà o guasto come previsto dall'art. 6, comma 6, secondo capoverso della L.R. 1/14</w:t>
            </w:r>
            <w:r>
              <w:rPr>
                <w:rStyle w:val="FootnoteAnchor"/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footnoteReference w:id="8"/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collocati a una distanza: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superiore a 500 metri dai luoghi sensibili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inferiore a 500 metri dai luoghi sensibili; 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b) entro tre anni nel caso di qualsiasi altra attività (3 agosto 2020)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A seguito dell'Accordo raggiunto sulla modulistica unificata e standardizzata, approvata dalla Conferenza Unificata  in data 6 luglio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3615"/>
        <w:gridCol w:w="361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pageBreakBefore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del responsabile tecnico + copia del documento di identità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un responsabile tecnico diverso dal dichiarante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Documento previsto solo per attività di tintolavanderia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63"/>
        <w:gridCol w:w="2887"/>
        <w:gridCol w:w="2888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prevenzione incendi</w:t>
            </w:r>
          </w:p>
        </w:tc>
        <w:tc>
          <w:tcPr>
            <w:tcW w:w="5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Nel caso di impianti per la produzione di calore con potenzialità superiore a 116 kw o utilizzo di impianti di produzione calore alimentati a combustibile solido, liquido o gassoso 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 al Sindaco per industria insalubre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tintolavanderie che rientrino nella classificazione delle industrie insalubri prevista nel D.M. del 05/09/1994.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L’attività può essere avviata dopo 15 giorni 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Documento previsto solo per attività di tintolavanderia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63"/>
        <w:gridCol w:w="2887"/>
        <w:gridCol w:w="2888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left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richiesta di autorizzazione per insegna di esercizio</w:t>
            </w:r>
          </w:p>
        </w:tc>
        <w:tc>
          <w:tcPr>
            <w:tcW w:w="5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impianti a ciclo chiuso per la pulizia a secco di tessuti e di pellami, escluse le pellicce, e delle pulitintolavanderie a ciclo chiuso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12"/>
                <w:szCs w:val="12"/>
              </w:rPr>
              <w:t>Da applicarsi qualora le Regioni non abbiano adottato specifiche autorizzazioni generali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Documento previsto solo per attività di tintolavanderia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Documentazione per la richiesta di AUA per gli scarichi di acque reflue 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impiego di lavatrici ad acqua analoghe a quelle di uso domestico e che effettivamente trattino oltre 100 kg di biancheria al giorno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la richiesta di autorizzazione in deroga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attività ubicata in locali sotterranei o semisotterranei che non dia luogo a emissioni di agenti nocivi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375"/>
        <w:gridCol w:w="426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Attestazione del versamento di oneri, di diritti, ecc.(*)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ovvero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Obbligatoria per la presentazione di una domanda contestuale alla SCIA (SCIA condizionata)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737" w:top="1434" w:footer="737" w:bottom="120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 xml:space="preserve">L'attività di </w:t>
      </w:r>
      <w:r>
        <w:rPr>
          <w:rStyle w:val="StrongEmphasis"/>
        </w:rPr>
        <w:t xml:space="preserve">tintolavanderia </w:t>
      </w:r>
      <w:r>
        <w:rPr/>
        <w:t xml:space="preserve">comprende i trattamenti di lavanderia, di pulitura chimica a secco e a umido, di tintoria, di smacchiatura, di stireria, di follatura e affini, di indumenti, capi e accessori per l'abbigliamento, di capi in pelle e pelliccia, naturale e sintetica, di biancheria e tessuti per la casa, a uso industriale e commerciale, nonchè a uso sanitario, di tappeti, tappezzeria e rivestimenti per arredamento, nonchè di oggetti d'uso, articoli e prodotti tessili di ogni tipo di fibra </w:t>
      </w:r>
    </w:p>
  </w:footnote>
  <w:footnote w:id="3">
    <w:p>
      <w:pPr>
        <w:pStyle w:val="Footnote"/>
        <w:rPr/>
      </w:pPr>
      <w:r>
        <w:rPr/>
        <w:footnoteRef/>
        <w:tab/>
        <w:t xml:space="preserve">Le imprese di lavanderia dotate esclusivamente di lavatrici professionali ad acqua ed essiccatori destinati a essere utilizzati direttamente dalla clientela previo acquisto di appositi gettoni, denominate </w:t>
      </w:r>
      <w:r>
        <w:rPr>
          <w:b/>
          <w:bCs/>
        </w:rPr>
        <w:t>lavanderie self service</w:t>
      </w:r>
      <w:r>
        <w:rPr/>
        <w:t xml:space="preserve">, </w:t>
      </w:r>
      <w:r>
        <w:rPr>
          <w:rStyle w:val="StrongEmphasis"/>
        </w:rPr>
        <w:t>non necessitano della previa individuazione del responsabile tecnico</w:t>
      </w:r>
      <w:r>
        <w:rPr/>
        <w:t xml:space="preserve"> ai sensi dell’articolo </w:t>
      </w:r>
      <w:hyperlink r:id="rId1">
        <w:r>
          <w:rPr>
            <w:rStyle w:val="InternetLink"/>
          </w:rPr>
          <w:t xml:space="preserve">40 ter, commi 2 (imprese artigiane) e 7 (impresa non artigiana) </w:t>
        </w:r>
      </w:hyperlink>
      <w:r>
        <w:rPr/>
        <w:t>L.R. 12/2002</w:t>
      </w:r>
    </w:p>
  </w:footnote>
  <w:footnote w:id="4">
    <w:p>
      <w:pPr>
        <w:pStyle w:val="Footnote"/>
        <w:rPr/>
      </w:pPr>
      <w:r>
        <w:rPr>
          <w:rFonts w:ascii="Arial" w:hAnsi="Arial"/>
          <w:sz w:val="12"/>
          <w:szCs w:val="12"/>
        </w:rPr>
        <w:footnoteRef/>
        <w:tab/>
        <w:t xml:space="preserve">Le dichiarazioni sono rese ai sensi della  legge regionale </w:t>
      </w:r>
      <w:hyperlink r:id="rId2">
        <w:r>
          <w:rPr>
            <w:rStyle w:val="InternetLink"/>
            <w:rFonts w:ascii="Arial" w:hAnsi="Arial"/>
            <w:sz w:val="12"/>
            <w:szCs w:val="12"/>
          </w:rPr>
          <w:t xml:space="preserve">14 febbraio 2014, n. 1 </w:t>
        </w:r>
      </w:hyperlink>
      <w:r>
        <w:rPr>
          <w:rFonts w:ascii="Arial" w:hAnsi="Arial"/>
          <w:sz w:val="12"/>
          <w:szCs w:val="12"/>
        </w:rPr>
        <w:t>(disposizioni per la prevenzione, il trattamento e il contrasto della dipendenza da gioco d'azzardo, nonché delle problematiche e patologie correlate) e della Legge regionale</w:t>
      </w:r>
      <w:r>
        <w:rPr>
          <w:rFonts w:cs="Arial" w:ascii="Arial" w:hAnsi="Arial"/>
          <w:b w:val="false"/>
          <w:bCs w:val="false"/>
          <w:i w:val="false"/>
          <w:iCs w:val="false"/>
          <w:sz w:val="12"/>
          <w:szCs w:val="12"/>
        </w:rPr>
        <w:t xml:space="preserve"> </w:t>
      </w:r>
      <w:hyperlink r:id="rId3">
        <w:r>
          <w:rPr>
            <w:rStyle w:val="InternetLink"/>
            <w:rFonts w:cs="Arial" w:ascii="Arial" w:hAnsi="Arial"/>
            <w:b w:val="false"/>
            <w:bCs w:val="false"/>
            <w:i w:val="false"/>
            <w:iCs w:val="false"/>
            <w:sz w:val="12"/>
            <w:szCs w:val="12"/>
          </w:rPr>
          <w:t>17 luglio 2017, n. 26</w:t>
        </w:r>
      </w:hyperlink>
      <w:r>
        <w:rPr>
          <w:rFonts w:cs="Arial" w:ascii="Arial" w:hAnsi="Arial"/>
          <w:b w:val="false"/>
          <w:bCs w:val="false"/>
          <w:i w:val="false"/>
          <w:iCs w:val="false"/>
          <w:sz w:val="12"/>
          <w:szCs w:val="12"/>
        </w:rPr>
        <w:t xml:space="preserve"> Modifiche alla legge regionale 14 febbraio 2014, n. 1</w:t>
      </w:r>
    </w:p>
  </w:footnote>
  <w:footnote w:id="5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11. Il divieto di cui al comma 1 non si applica qualora l'insediamento dell'attività qualificata come luogo sensibile ai sensi della presente legge sia successivo alla installazione degli apparecchi per il gioco lecito o all'insediamento dell'attività di raccolta di scommesse</w:t>
      </w:r>
    </w:p>
  </w:footnote>
  <w:footnote w:id="6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"</w:t>
      </w:r>
      <w:r>
        <w:rPr>
          <w:rFonts w:ascii="Arial" w:hAnsi="Arial"/>
          <w:b/>
          <w:bCs/>
          <w:sz w:val="12"/>
          <w:szCs w:val="12"/>
        </w:rPr>
        <w:t>vetustà dell'apparecchio per il gioco lecito</w:t>
      </w:r>
      <w:r>
        <w:rPr>
          <w:rFonts w:ascii="Arial" w:hAnsi="Arial"/>
          <w:sz w:val="12"/>
          <w:szCs w:val="12"/>
        </w:rPr>
        <w:t>": la sopravvenuta inadeguatezza tecnica dell'apparecchio per il gioco lecito rispetto a requisiti previsti dalla normativa vigente</w:t>
      </w:r>
    </w:p>
  </w:footnote>
  <w:footnote w:id="7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"</w:t>
      </w:r>
      <w:r>
        <w:rPr>
          <w:rFonts w:ascii="Arial" w:hAnsi="Arial"/>
          <w:b/>
          <w:bCs/>
          <w:sz w:val="12"/>
          <w:szCs w:val="12"/>
        </w:rPr>
        <w:t>guasto dell'apparecchio per il gioco lecito</w:t>
      </w:r>
      <w:r>
        <w:rPr>
          <w:rFonts w:ascii="Arial" w:hAnsi="Arial"/>
          <w:sz w:val="12"/>
          <w:szCs w:val="12"/>
        </w:rPr>
        <w:t>": il malfunzionamento irreparabile dell'apparecchio per il gioco lecito che lo rende inservibile al suo scopo</w:t>
      </w:r>
    </w:p>
  </w:footnote>
  <w:footnote w:id="8">
    <w:p>
      <w:pPr>
        <w:pStyle w:val="Footnote"/>
        <w:rPr/>
      </w:pPr>
      <w:r>
        <w:rPr/>
        <w:footnoteRef/>
        <w:tab/>
        <w:t xml:space="preserve">Nei casi di cui al comma 4 (cioè sostituzione per vetustà o guasto), la comunicazione </w:t>
      </w:r>
      <w:r>
        <w:rPr>
          <w:b/>
          <w:bCs/>
        </w:rPr>
        <w:t>specifica le cause che rendono necessaria la sostituzione degli apparecchi</w:t>
      </w:r>
      <w:r>
        <w:rPr/>
        <w:t xml:space="preserve">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/>
        <w:b/>
        <w:b/>
        <w:bCs/>
        <w:color w:val="999999"/>
        <w:sz w:val="18"/>
        <w:szCs w:val="18"/>
      </w:rPr>
    </w:pPr>
    <w:r>
      <w:rPr>
        <w:rFonts w:cs="Arial" w:ascii="Arial" w:hAnsi="Arial"/>
        <w:b/>
        <w:bCs/>
        <w:i w:val="false"/>
        <w:color w:val="999999"/>
        <w:sz w:val="18"/>
        <w:szCs w:val="18"/>
      </w:rPr>
      <w:t xml:space="preserve">B19 - </w:t>
    </w:r>
    <w:r>
      <w:rPr>
        <w:rFonts w:cs="Arial" w:ascii="Arial" w:hAnsi="Arial"/>
        <w:b/>
        <w:bCs/>
        <w:color w:val="999999"/>
        <w:sz w:val="18"/>
        <w:szCs w:val="18"/>
      </w:rPr>
      <w:t>Tintolavanderia</w:t>
    </w:r>
  </w:p>
  <w:p>
    <w:pPr>
      <w:pStyle w:val="Normal"/>
      <w:spacing w:before="0" w:after="0"/>
      <w:rPr>
        <w:rFonts w:ascii="Arial" w:hAnsi="Arial"/>
        <w:b/>
        <w:b/>
        <w:bCs/>
        <w:color w:val="999999"/>
        <w:sz w:val="18"/>
        <w:szCs w:val="18"/>
      </w:rPr>
    </w:pPr>
    <w:r>
      <w:rPr>
        <w:rFonts w:ascii="Arial" w:hAnsi="Arial"/>
        <w:b/>
        <w:bCs/>
        <w:color w:val="999999"/>
        <w:sz w:val="18"/>
        <w:szCs w:val="18"/>
      </w:rPr>
      <w:t>Data ultima versione del modello: 30/09/2017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rFonts w:ascii="Arial" w:hAnsi="Arial"/>
      <w:sz w:val="12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xview-int.regione.fvg.it/fontinormative/xml/xmlLex.aspx?anno=2002&amp;legge=12&amp;ID=art24&amp;lista=0&amp;fx=lex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lexview-int.regione.fvg.it/fontinormative/xml/xmlLex.aspx?anno=2002&amp;legge=12&amp;lista=0&amp;fx=lex" TargetMode="External"/><Relationship Id="rId2" Type="http://schemas.openxmlformats.org/officeDocument/2006/relationships/hyperlink" Target="http://lexview-int.regione.fvg.it/fontinormative/xml/xmlLex.aspx?anno=2014&amp;legge=1&amp;lista=0&amp;fx=lex" TargetMode="External"/><Relationship Id="rId3" Type="http://schemas.openxmlformats.org/officeDocument/2006/relationships/hyperlink" Target="http://lexview-int.regione.fvg.it/FontiNormative/xml/xmlLex.aspx?anno=2017&amp;legge=26&amp;ID=art7&amp;lista=0&amp;fx=lex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2239</TotalTime>
  <Application>LibreOffice/5.3.6.1$Linux_X86_64 LibreOffice_project/30$Build-1</Application>
  <Pages>4</Pages>
  <Words>1933</Words>
  <CharactersWithSpaces>13160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>Giovanna, Paola Carano</cp:lastModifiedBy>
  <cp:lastPrinted>2017-09-21T17:21:43Z</cp:lastPrinted>
  <dcterms:modified xsi:type="dcterms:W3CDTF">2018-03-23T08:06:44Z</dcterms:modified>
  <cp:revision>327</cp:revision>
  <dc:subject/>
  <dc:title/>
</cp:coreProperties>
</file>